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605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Управление по туризму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>
              <w:rPr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Об утверждении Порядка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областного бюджета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грантов в форме субсидий на поддержку реализации общественных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инициатив, направленных на развитие туристской инфраструктуры»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/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пр-т Гражданский, д. 54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kats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vb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 с 1</w:t>
            </w:r>
            <w:r>
              <w:rPr>
                <w:sz w:val="24"/>
                <w:szCs w:val="24"/>
              </w:rPr>
              <w:t xml:space="preserve">7 июня 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 по </w:t>
            </w:r>
            <w:r>
              <w:rPr>
                <w:sz w:val="24"/>
                <w:szCs w:val="24"/>
              </w:rPr>
              <w:t xml:space="preserve">1 июля 2025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управлением по туризму</w:t>
            </w:r>
            <w:r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 xml:space="preserve">до 10.02.20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управления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туризму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управления по туризму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</w:t>
            </w:r>
            <w:r>
              <w:rPr>
                <w:sz w:val="24"/>
                <w:szCs w:val="24"/>
              </w:rPr>
              <w:t xml:space="preserve">комплаенс</w:t>
            </w:r>
            <w:r>
              <w:rPr>
                <w:sz w:val="24"/>
                <w:szCs w:val="24"/>
              </w:rPr>
              <w:t xml:space="preserve">»: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https://visitbelogorie.ru/deyatelnost/antimonopolnyj-komplaens/publichnye-konsultacii-v-ramkah-analiza-proektov-normativnyh-pravovyh-aktov/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jc w:val="both"/>
              <w:rPr>
                <w:rFonts w:ascii="Carlito" w:hAnsi="Carlito" w:cs="Carlito"/>
                <w:i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Кац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 Виктория Борисовна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,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 заместитель начальника управления - начальник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 отдела государственного регулирования 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туристской деятельности и реализации государственных программ</w:t>
            </w:r>
            <w:bookmarkStart w:id="0" w:name="_GoBack"/>
            <w:r>
              <w:rPr>
                <w:rFonts w:ascii="Carlito" w:hAnsi="Carlito" w:cs="Carlito"/>
              </w:rPr>
            </w:r>
            <w:bookmarkEnd w:id="0"/>
            <w:r>
              <w:rPr>
                <w:rFonts w:ascii="Carlito" w:hAnsi="Carlito" w:cs="Carlito"/>
                <w:i/>
                <w:sz w:val="24"/>
                <w:szCs w:val="24"/>
              </w:rPr>
              <w:t xml:space="preserve"> 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управления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 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по туризму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 Белгородской области, тел. (4722) 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23-58-63</w:t>
            </w:r>
            <w:r>
              <w:rPr>
                <w:rFonts w:ascii="Carlito" w:hAnsi="Carlito" w:cs="Carlito"/>
                <w:i/>
                <w:sz w:val="24"/>
                <w:szCs w:val="24"/>
              </w:rPr>
              <w:t xml:space="preserve">.</w:t>
            </w:r>
            <w:r>
              <w:rPr>
                <w:rFonts w:ascii="Carlito" w:hAnsi="Carlito" w:cs="Carlito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6">
    <w:name w:val="Hyperlink"/>
    <w:uiPriority w:val="99"/>
    <w:rPr>
      <w:color w:val="0000ff"/>
      <w:u w:val="single"/>
    </w:rPr>
  </w:style>
  <w:style w:type="paragraph" w:styleId="607">
    <w:name w:val="No Spacing"/>
    <w:link w:val="608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8" w:customStyle="1">
    <w:name w:val="Без интервала Знак"/>
    <w:link w:val="607"/>
    <w:qFormat/>
    <w:rPr>
      <w:rFonts w:ascii="Times New Roman" w:hAnsi="Times New Roman" w:eastAsia="Calibri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5</cp:revision>
  <dcterms:created xsi:type="dcterms:W3CDTF">2024-06-03T07:52:00Z</dcterms:created>
  <dcterms:modified xsi:type="dcterms:W3CDTF">2025-06-16T11:45:11Z</dcterms:modified>
</cp:coreProperties>
</file>