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Субсидии на финансовое обеспечение части затрат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 реализацию общественных инициатив в сфере туризма</w:t>
      </w:r>
    </w:p>
    <w:p>
      <w:pPr>
        <w:spacing w:after="0" w:line="240" w:lineRule="auto"/>
        <w:jc w:val="both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</w:p>
    <w:p>
      <w:pPr>
        <w:spacing w:after="0" w:line="240" w:lineRule="auto"/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10 0</w:t>
      </w:r>
      <w:r>
        <w:rPr>
          <w:rFonts w:ascii="Times New Roman" w:hAnsi="Times New Roman"/>
          <w:sz w:val="24"/>
          <w:szCs w:val="24"/>
          <w:lang w:eastAsia="ru-RU"/>
        </w:rPr>
        <w:t xml:space="preserve">00,0 тыс. рублей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 1 раз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5 ед.</w:t>
      </w: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</w:p>
    <w:p>
      <w:pPr>
        <w:pStyle w:val="674"/>
        <w:ind w:firstLine="709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Заявки формируются участниками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в электронной форме посред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.</w:t>
      </w:r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заполнение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экранных форм веб-интерфейса системы «Электронный бюджет» </w:t>
      </w:r>
      <w:r>
        <w:rPr>
          <w:rFonts w:ascii="Times New Roman" w:hAnsi="Times New Roman" w:eastAsiaTheme="minorEastAsia"/>
          <w:b/>
          <w:bCs/>
          <w:sz w:val="24"/>
          <w:szCs w:val="24"/>
          <w:lang w:eastAsia="ru-RU"/>
        </w:rPr>
        <w:t xml:space="preserve">- </w:t>
        <w:br/>
        <w:t xml:space="preserve">1,5 чел./час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74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юридических лиц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участника отбора и печатью участника отбора (при наличии) –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</w:p>
    <w:p>
      <w:pPr>
        <w:pStyle w:val="674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копии учредительных документов, заверенные подписью руководителя участника отбора и печатью участника отбора (при наличии) (копия у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става – для юридического лица)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копия паспорта заявителя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 копии документов, подтвер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ждающих полномочия,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заверенные подписью руководителя участника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справка об отсутствии неисполненных обязанностей по уплате налогов, сборов, страховых взно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сов, пеней, штрафов, процентов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чел./час;</w:t>
      </w:r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w:tooltip="#P305" w:anchor="P305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заявление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 подписью руководителя (лица, исполняющего обязанности руководителя) участника отбора по форме согласно приложению № 1 к порядку – </w:t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0,75 чел./час;</w:t>
      </w:r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hyperlink w:tooltip="#P546" w:anchor="P546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- характеристика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проекта по форме согласно приложению № 2 к порядку – </w:t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электронные копии документов (договоров с ресурсоснабжающими организациями, договоров на предоставление коммунальных и эксплуатационных услуг), подтверждающих надлежащее функционирование всех инженерных систем (центрального отопления, газоснабжения, горяче</w:t>
      </w:r>
      <w:r>
        <w:rPr>
          <w:rFonts w:ascii="Times New Roman" w:hAnsi="Times New Roman"/>
          <w:sz w:val="24"/>
          <w:szCs w:val="24"/>
        </w:rPr>
        <w:t xml:space="preserve">го и холодного водоснабжения, канализации, электроснабжения) занимаемого участником отбора здания (строения, сооружения), в случае, если указанные объекты недвижимости необходимы для достижения результата предоставления субсидии –</w:t>
      </w:r>
      <w:r>
        <w:rPr>
          <w:rFonts w:ascii="Times New Roman" w:hAnsi="Times New Roman"/>
          <w:b/>
          <w:bCs/>
          <w:sz w:val="24"/>
          <w:szCs w:val="24"/>
        </w:rPr>
        <w:t xml:space="preserve"> 1 чел./час;</w:t>
      </w:r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выписка из ра</w:t>
      </w:r>
      <w:r>
        <w:rPr>
          <w:rFonts w:ascii="Times New Roman" w:hAnsi="Times New Roman"/>
          <w:sz w:val="24"/>
          <w:szCs w:val="24"/>
          <w:lang w:eastAsia="ru-RU"/>
        </w:rPr>
        <w:t xml:space="preserve">счетного счета, открытого в кредитной организации, подтверждающая наличие собственных средств участника отбора на реализацию проекта, заверенная банком, на любую дату в течение периода, равного 30 календарным дням, предшествующего дате подачи заявки, в раз</w:t>
      </w:r>
      <w:r>
        <w:rPr>
          <w:rFonts w:ascii="Times New Roman" w:hAnsi="Times New Roman"/>
          <w:sz w:val="24"/>
          <w:szCs w:val="24"/>
          <w:lang w:eastAsia="ru-RU"/>
        </w:rPr>
        <w:t xml:space="preserve">мере не менее 30 (тридцати) процентов от размера запрашиваемой субсидии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t xml:space="preserve">- </w:t>
      </w:r>
      <w:bookmarkStart w:id="1" w:name="P134"/>
      <w:bookmarkStart w:id="2" w:name="P140"/>
      <w:bookmarkEnd w:id="1"/>
      <w:bookmarkEnd w:id="2"/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недвижимости, подтверждающая право собственности или иное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объекты недвижимости, в том 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исле земельный участок, участвующий в реализации проекта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</w:t>
      </w:r>
      <w:r>
        <w:rPr>
          <w:rFonts w:ascii="Times New Roman" w:hAnsi="Times New Roman"/>
          <w:sz w:val="24"/>
          <w:szCs w:val="24"/>
          <w:lang w:eastAsia="ru-RU"/>
        </w:rPr>
        <w:t xml:space="preserve">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информация правообладателя земельного участка, указанного в проекте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о возможности предоставления такого земельного участка участнику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без проведения торгов на сро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 не менее срока достижения результата проекта либо копия правоустанавливающих или правоудостоверяющих документов, подтверждающих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земельный участок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0,25 чел./час;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ходатайство</w:t>
      </w:r>
      <w:r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муниципального района (городского округа) Белгородской области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Проверка соответствия д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ополнительным требованиям:</w:t>
      </w:r>
      <w:r>
        <w:rPr>
          <w:u w:val="single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чел./час;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язанных с террористическими организациями и террористами или с распространением оружия массового уничтожения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Итого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8,25 чел./часов;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54 164 руб.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322,40 руб. (54164руб./21 день/8 час.) 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17,3 тыс. руб. (322,4 руб.*8,25 чел./час.*1,302*5 ед.)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Финансирование на 2025 год</w:t>
      </w:r>
      <w:r>
        <w:rPr>
          <w:rFonts w:ascii="Times New Roman" w:hAnsi="Times New Roman"/>
          <w:sz w:val="24"/>
          <w:szCs w:val="24"/>
        </w:rPr>
        <w:t xml:space="preserve"> предусмотрено «Выпиской из сводной бюджетной росписи расходов областного бюджета на 2025 финансовый год и на плановый период 2026 и 2027 годов» в объемах: 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2025 г. – </w:t>
      </w:r>
      <w:r>
        <w:rPr>
          <w:rFonts w:ascii="Times New Roman" w:hAnsi="Times New Roman" w:cs="Times New Roman"/>
          <w:sz w:val="24"/>
          <w:szCs w:val="24"/>
        </w:rPr>
        <w:t xml:space="preserve">54 468,0</w:t>
      </w:r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ыс. руб.</w:t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5">
    <w:name w:val="Heading 1"/>
    <w:basedOn w:val="634"/>
    <w:next w:val="634"/>
    <w:link w:val="66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ind w:left="720"/>
      <w:contextualSpacing/>
    </w:pPr>
  </w:style>
  <w:style w:type="paragraph" w:styleId="674">
    <w:name w:val="No Spacing"/>
    <w:link w:val="836"/>
    <w:qFormat/>
  </w:style>
  <w:style w:type="paragraph" w:styleId="675">
    <w:name w:val="Title"/>
    <w:basedOn w:val="634"/>
    <w:next w:val="634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 w:customStyle="1">
    <w:name w:val="Footer Char"/>
    <w:uiPriority w:val="99"/>
  </w:style>
  <w:style w:type="paragraph" w:styleId="687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9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3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spacing w:after="57"/>
      <w:ind w:left="283"/>
    </w:pPr>
  </w:style>
  <w:style w:type="paragraph" w:styleId="824">
    <w:name w:val="toc 3"/>
    <w:basedOn w:val="634"/>
    <w:next w:val="634"/>
    <w:uiPriority w:val="39"/>
    <w:unhideWhenUsed/>
    <w:pPr>
      <w:spacing w:after="57"/>
      <w:ind w:left="567"/>
    </w:pPr>
  </w:style>
  <w:style w:type="paragraph" w:styleId="825">
    <w:name w:val="toc 4"/>
    <w:basedOn w:val="634"/>
    <w:next w:val="634"/>
    <w:uiPriority w:val="39"/>
    <w:unhideWhenUsed/>
    <w:pPr>
      <w:spacing w:after="57"/>
      <w:ind w:left="850"/>
    </w:pPr>
  </w:style>
  <w:style w:type="paragraph" w:styleId="826">
    <w:name w:val="toc 5"/>
    <w:basedOn w:val="634"/>
    <w:next w:val="634"/>
    <w:uiPriority w:val="39"/>
    <w:unhideWhenUsed/>
    <w:pPr>
      <w:spacing w:after="57"/>
      <w:ind w:left="1134"/>
    </w:pPr>
  </w:style>
  <w:style w:type="paragraph" w:styleId="827">
    <w:name w:val="toc 6"/>
    <w:basedOn w:val="634"/>
    <w:next w:val="634"/>
    <w:uiPriority w:val="39"/>
    <w:unhideWhenUsed/>
    <w:pPr>
      <w:spacing w:after="57"/>
      <w:ind w:left="1417"/>
    </w:pPr>
  </w:style>
  <w:style w:type="paragraph" w:styleId="828">
    <w:name w:val="toc 7"/>
    <w:basedOn w:val="634"/>
    <w:next w:val="634"/>
    <w:uiPriority w:val="39"/>
    <w:unhideWhenUsed/>
    <w:pPr>
      <w:spacing w:after="57"/>
      <w:ind w:left="1701"/>
    </w:pPr>
  </w:style>
  <w:style w:type="paragraph" w:styleId="829">
    <w:name w:val="toc 8"/>
    <w:basedOn w:val="634"/>
    <w:next w:val="634"/>
    <w:uiPriority w:val="39"/>
    <w:unhideWhenUsed/>
    <w:pPr>
      <w:spacing w:after="57"/>
      <w:ind w:left="1984"/>
    </w:pPr>
  </w:style>
  <w:style w:type="paragraph" w:styleId="830">
    <w:name w:val="toc 9"/>
    <w:basedOn w:val="634"/>
    <w:next w:val="634"/>
    <w:uiPriority w:val="39"/>
    <w:unhideWhenUsed/>
    <w:pPr>
      <w:spacing w:after="57"/>
      <w:ind w:left="2268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>
    <w:name w:val="Balloon Text"/>
    <w:basedOn w:val="634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link w:val="833"/>
    <w:uiPriority w:val="99"/>
    <w:semiHidden/>
    <w:rPr>
      <w:rFonts w:ascii="Segoe UI" w:hAnsi="Segoe UI" w:cs="Segoe UI"/>
      <w:sz w:val="18"/>
      <w:szCs w:val="18"/>
    </w:rPr>
  </w:style>
  <w:style w:type="paragraph" w:styleId="83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836" w:customStyle="1">
    <w:name w:val="Без интервала Знак"/>
    <w:link w:val="67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2024-06-04T09:13:00Z</dcterms:created>
  <dcterms:modified xsi:type="dcterms:W3CDTF">2025-06-17T07:46:18Z</dcterms:modified>
  <cp:version>1048576</cp:version>
</cp:coreProperties>
</file>