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467" w:rsidRDefault="00D62467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D62467" w:rsidRDefault="00D62467">
      <w:pPr>
        <w:pStyle w:val="ConsPlusNormal"/>
        <w:outlineLvl w:val="0"/>
      </w:pPr>
    </w:p>
    <w:p w:rsidR="00D62467" w:rsidRDefault="00D62467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D62467" w:rsidRDefault="00D62467">
      <w:pPr>
        <w:pStyle w:val="ConsPlusTitle"/>
        <w:jc w:val="center"/>
      </w:pPr>
    </w:p>
    <w:p w:rsidR="00D62467" w:rsidRDefault="00D62467">
      <w:pPr>
        <w:pStyle w:val="ConsPlusTitle"/>
        <w:jc w:val="center"/>
      </w:pPr>
      <w:r>
        <w:t>ПОСТАНОВЛЕНИЕ</w:t>
      </w:r>
    </w:p>
    <w:p w:rsidR="00D62467" w:rsidRDefault="00D62467">
      <w:pPr>
        <w:pStyle w:val="ConsPlusTitle"/>
        <w:jc w:val="center"/>
      </w:pPr>
      <w:r>
        <w:t>от 9 апреля 2024 г. N 143-пп</w:t>
      </w:r>
    </w:p>
    <w:p w:rsidR="00D62467" w:rsidRDefault="00D62467">
      <w:pPr>
        <w:pStyle w:val="ConsPlusTitle"/>
        <w:jc w:val="center"/>
      </w:pPr>
    </w:p>
    <w:p w:rsidR="00D62467" w:rsidRDefault="00D62467">
      <w:pPr>
        <w:pStyle w:val="ConsPlusTitle"/>
        <w:jc w:val="center"/>
      </w:pPr>
      <w:r>
        <w:t>О ВНЕСЕНИИ ИЗМЕНЕНИЙ В ПОСТАНОВЛЕНИЕ ПРАВИТЕЛЬСТВА</w:t>
      </w:r>
    </w:p>
    <w:p w:rsidR="00D62467" w:rsidRDefault="00D62467">
      <w:pPr>
        <w:pStyle w:val="ConsPlusTitle"/>
        <w:jc w:val="center"/>
      </w:pPr>
      <w:r>
        <w:t>БЕЛГОРОДСКОЙ ОБЛАСТИ ОТ 27 ИЮНЯ 2022 ГОДА N 400-ПП</w:t>
      </w: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ind w:firstLine="540"/>
        <w:jc w:val="both"/>
      </w:pPr>
      <w:r>
        <w:t>В целях приведения нормативных правовых актов Белгородской области в соответствие с действующим законодательством Правительство Белгородской области постановляет:</w:t>
      </w:r>
    </w:p>
    <w:p w:rsidR="00D62467" w:rsidRDefault="00D62467">
      <w:pPr>
        <w:pStyle w:val="ConsPlusNormal"/>
        <w:ind w:firstLine="540"/>
        <w:jc w:val="both"/>
      </w:pPr>
    </w:p>
    <w:p w:rsidR="00D62467" w:rsidRDefault="00D62467">
      <w:pPr>
        <w:pStyle w:val="ConsPlusNormal"/>
        <w:ind w:firstLine="540"/>
        <w:jc w:val="both"/>
      </w:pPr>
      <w:r>
        <w:t xml:space="preserve">1. Внести следующие изменения в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27 июня 2022 года N 400-пп "Об организации оказания государственной услуги по созданию условий в Белгородской области для обеспечения отдельных категорий граждан возможностью путешествовать с целью раскрытия туристского потенциала Российской Федерации":</w:t>
      </w:r>
    </w:p>
    <w:p w:rsidR="00D62467" w:rsidRDefault="00D62467">
      <w:pPr>
        <w:pStyle w:val="ConsPlusNormal"/>
        <w:spacing w:before="220"/>
        <w:ind w:firstLine="540"/>
        <w:jc w:val="both"/>
      </w:pPr>
      <w:r>
        <w:t xml:space="preserve">- </w:t>
      </w:r>
      <w:hyperlink r:id="rId6">
        <w:r>
          <w:rPr>
            <w:color w:val="0000FF"/>
          </w:rPr>
          <w:t>пункт 14</w:t>
        </w:r>
      </w:hyperlink>
      <w:r>
        <w:t xml:space="preserve"> постановления изложить в следующей редакции:</w:t>
      </w:r>
    </w:p>
    <w:p w:rsidR="00D62467" w:rsidRDefault="00D62467">
      <w:pPr>
        <w:pStyle w:val="ConsPlusNormal"/>
        <w:spacing w:before="220"/>
        <w:ind w:firstLine="540"/>
        <w:jc w:val="both"/>
      </w:pPr>
      <w:r>
        <w:t>"14. Контроль за исполнением постановления возложить на министерство цифрового развития Белгородской области (Четвериков С.Н.).";</w:t>
      </w:r>
    </w:p>
    <w:p w:rsidR="00D62467" w:rsidRDefault="00D62467">
      <w:pPr>
        <w:pStyle w:val="ConsPlusNormal"/>
        <w:spacing w:before="220"/>
        <w:ind w:firstLine="540"/>
        <w:jc w:val="both"/>
      </w:pPr>
      <w:r>
        <w:t xml:space="preserve">- </w:t>
      </w:r>
      <w:hyperlink r:id="rId7">
        <w:r>
          <w:rPr>
            <w:color w:val="0000FF"/>
          </w:rPr>
          <w:t>Показатели</w:t>
        </w:r>
      </w:hyperlink>
      <w:r>
        <w:t xml:space="preserve"> эффективности реализации мероприятий, проводимых в рамках апробации механизмов организации оказания государственной услуги по созданию условий в Белгородской области для обеспечения отдельных категорий граждан возможностью путешествовать с целью развития туристского потенциала Российской Федерации, утвержденные в пункте 9 постановления, изложить в редакции согласно </w:t>
      </w:r>
      <w:hyperlink w:anchor="P32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</w:p>
    <w:p w:rsidR="00D62467" w:rsidRDefault="00D62467">
      <w:pPr>
        <w:pStyle w:val="ConsPlusNormal"/>
        <w:ind w:firstLine="540"/>
        <w:jc w:val="both"/>
      </w:pPr>
    </w:p>
    <w:p w:rsidR="00D62467" w:rsidRDefault="00D62467">
      <w:pPr>
        <w:pStyle w:val="ConsPlusNormal"/>
        <w:ind w:firstLine="540"/>
        <w:jc w:val="both"/>
      </w:pPr>
      <w:r>
        <w:t>2. Контроль за исполнением настоящего постановления возложить на министерство цифрового развития Белгородской области (Четвериков С.Н.).</w:t>
      </w:r>
    </w:p>
    <w:p w:rsidR="00D62467" w:rsidRDefault="00D62467">
      <w:pPr>
        <w:pStyle w:val="ConsPlusNormal"/>
        <w:ind w:firstLine="540"/>
        <w:jc w:val="both"/>
      </w:pPr>
    </w:p>
    <w:p w:rsidR="00D62467" w:rsidRDefault="00D62467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D62467" w:rsidRDefault="00D62467">
      <w:pPr>
        <w:pStyle w:val="ConsPlusNormal"/>
        <w:ind w:firstLine="540"/>
        <w:jc w:val="both"/>
      </w:pPr>
    </w:p>
    <w:p w:rsidR="00D62467" w:rsidRDefault="00D62467">
      <w:pPr>
        <w:pStyle w:val="ConsPlusNormal"/>
        <w:jc w:val="right"/>
      </w:pPr>
      <w:r>
        <w:t>Губернатор Белгородской области</w:t>
      </w:r>
    </w:p>
    <w:p w:rsidR="00D62467" w:rsidRDefault="00D62467">
      <w:pPr>
        <w:pStyle w:val="ConsPlusNormal"/>
        <w:jc w:val="right"/>
      </w:pPr>
      <w:r>
        <w:t>В.В.ГЛАДКОВ</w:t>
      </w: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jc w:val="right"/>
        <w:outlineLvl w:val="0"/>
      </w:pPr>
      <w:r>
        <w:t>Приложение</w:t>
      </w:r>
    </w:p>
    <w:p w:rsidR="00D62467" w:rsidRDefault="00D62467">
      <w:pPr>
        <w:pStyle w:val="ConsPlusNormal"/>
        <w:jc w:val="right"/>
      </w:pPr>
      <w:r>
        <w:t>к постановлению</w:t>
      </w:r>
    </w:p>
    <w:p w:rsidR="00D62467" w:rsidRDefault="00D62467">
      <w:pPr>
        <w:pStyle w:val="ConsPlusNormal"/>
        <w:jc w:val="right"/>
      </w:pPr>
      <w:r>
        <w:t>Правительства Белгородской области</w:t>
      </w:r>
    </w:p>
    <w:p w:rsidR="00D62467" w:rsidRDefault="00D62467">
      <w:pPr>
        <w:pStyle w:val="ConsPlusNormal"/>
        <w:jc w:val="right"/>
      </w:pPr>
      <w:r>
        <w:t>от 9 апреля 2024 г. N 143-пп</w:t>
      </w:r>
    </w:p>
    <w:p w:rsidR="00D62467" w:rsidRDefault="00D62467">
      <w:pPr>
        <w:pStyle w:val="ConsPlusNormal"/>
        <w:jc w:val="center"/>
      </w:pPr>
    </w:p>
    <w:p w:rsidR="00D62467" w:rsidRDefault="00D62467">
      <w:pPr>
        <w:pStyle w:val="ConsPlusTitle"/>
        <w:jc w:val="center"/>
      </w:pPr>
      <w:bookmarkStart w:id="1" w:name="P32"/>
      <w:bookmarkEnd w:id="1"/>
      <w:r>
        <w:t>ПОКАЗАТЕЛИ ЭФФЕКТИВНОСТИ РЕАЛИЗАЦИИ МЕРОПРИЯТИЙ, ПРОВОДИМЫХ</w:t>
      </w:r>
    </w:p>
    <w:p w:rsidR="00D62467" w:rsidRDefault="00D62467">
      <w:pPr>
        <w:pStyle w:val="ConsPlusTitle"/>
        <w:jc w:val="center"/>
      </w:pPr>
      <w:r>
        <w:t>В РАМКАХ АПРОБАЦИИ МЕХАНИЗМОВ ОРГАНИЗАЦИИ ОКАЗАНИЯ</w:t>
      </w:r>
    </w:p>
    <w:p w:rsidR="00D62467" w:rsidRDefault="00D62467">
      <w:pPr>
        <w:pStyle w:val="ConsPlusTitle"/>
        <w:jc w:val="center"/>
      </w:pPr>
      <w:r>
        <w:t>ГОСУДАРСТВЕННОЙ УСЛУГИ ПО СОЗДАНИЮ УСЛОВИЙ В БЕЛГОРОДСКОЙ</w:t>
      </w:r>
    </w:p>
    <w:p w:rsidR="00D62467" w:rsidRDefault="00D62467">
      <w:pPr>
        <w:pStyle w:val="ConsPlusTitle"/>
        <w:jc w:val="center"/>
      </w:pPr>
      <w:r>
        <w:t>ОБЛАСТИ ДЛЯ ОБЕСПЕЧЕНИЯ ОТДЕЛЬНЫХ КАТЕГОРИЙ ГРАЖДАН</w:t>
      </w:r>
    </w:p>
    <w:p w:rsidR="00D62467" w:rsidRDefault="00D62467">
      <w:pPr>
        <w:pStyle w:val="ConsPlusTitle"/>
        <w:jc w:val="center"/>
      </w:pPr>
      <w:r>
        <w:t>ВОЗМОЖНОСТЬЮ ПУТЕШЕСТВОВАТЬ С ЦЕЛЬЮ РАЗВИТИЯ ТУРИСТСКОГО</w:t>
      </w:r>
    </w:p>
    <w:p w:rsidR="00D62467" w:rsidRDefault="00D62467">
      <w:pPr>
        <w:pStyle w:val="ConsPlusTitle"/>
        <w:jc w:val="center"/>
      </w:pPr>
      <w:r>
        <w:t>ПОТЕНЦИАЛА РОССИЙСКОЙ ФЕДЕРАЦИИ</w:t>
      </w:r>
    </w:p>
    <w:p w:rsidR="00D62467" w:rsidRDefault="00D62467">
      <w:pPr>
        <w:pStyle w:val="ConsPlusNormal"/>
        <w:jc w:val="center"/>
      </w:pPr>
    </w:p>
    <w:p w:rsidR="00D62467" w:rsidRDefault="00D62467">
      <w:pPr>
        <w:pStyle w:val="ConsPlusNormal"/>
        <w:sectPr w:rsidR="00D62467" w:rsidSect="00436E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84"/>
        <w:gridCol w:w="1834"/>
        <w:gridCol w:w="2119"/>
        <w:gridCol w:w="1129"/>
        <w:gridCol w:w="1129"/>
        <w:gridCol w:w="1744"/>
      </w:tblGrid>
      <w:tr w:rsidR="00D62467">
        <w:tc>
          <w:tcPr>
            <w:tcW w:w="454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84" w:type="dxa"/>
          </w:tcPr>
          <w:p w:rsidR="00D62467" w:rsidRDefault="00D62467">
            <w:pPr>
              <w:pStyle w:val="ConsPlusNormal"/>
              <w:jc w:val="center"/>
            </w:pPr>
            <w:r>
              <w:t>Цель</w:t>
            </w: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Тип индикатора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  <w:jc w:val="center"/>
            </w:pPr>
            <w:r>
              <w:t>Индикатор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Базовая величина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Целевой ориентир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D62467">
        <w:tc>
          <w:tcPr>
            <w:tcW w:w="454" w:type="dxa"/>
          </w:tcPr>
          <w:p w:rsidR="00D62467" w:rsidRDefault="00D6246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84" w:type="dxa"/>
          </w:tcPr>
          <w:p w:rsidR="00D62467" w:rsidRDefault="00D6246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7</w:t>
            </w:r>
          </w:p>
        </w:tc>
      </w:tr>
      <w:tr w:rsidR="00D62467">
        <w:tc>
          <w:tcPr>
            <w:tcW w:w="45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84" w:type="dxa"/>
            <w:vMerge w:val="restart"/>
          </w:tcPr>
          <w:p w:rsidR="00D62467" w:rsidRDefault="00D62467">
            <w:pPr>
              <w:pStyle w:val="ConsPlusNormal"/>
            </w:pPr>
            <w:r>
              <w:t>Улучшение условий для оказания государственной услуги негосударственными организациями</w:t>
            </w: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Процесс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Общее количество негосударственных организаций, оказывающих государственную услугу,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 xml:space="preserve">Значение: - </w:t>
            </w:r>
            <w:hyperlink w:anchor="P206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Промежуточный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Общее количество негосударственных организаций, оказывающих государственную услугу,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t>Итоговый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Количество негосударственных организаций, оказывающих государственную услугу,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из них количество негосударственных организаций, </w:t>
            </w:r>
            <w:r>
              <w:lastRenderedPageBreak/>
              <w:t>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 xml:space="preserve">Управление по туризму Белгородской </w:t>
            </w:r>
            <w:r>
              <w:lastRenderedPageBreak/>
              <w:t>области</w:t>
            </w:r>
          </w:p>
        </w:tc>
      </w:tr>
      <w:tr w:rsidR="00D62467">
        <w:tc>
          <w:tcPr>
            <w:tcW w:w="45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284" w:type="dxa"/>
            <w:vMerge w:val="restart"/>
          </w:tcPr>
          <w:p w:rsidR="00D62467" w:rsidRDefault="00D62467">
            <w:pPr>
              <w:pStyle w:val="ConsPlusNormal"/>
            </w:pPr>
            <w:r>
              <w:t>Усиление конкуренции при выборе негосударственных исполнителей государственных услуг</w:t>
            </w: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Процесс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Разработка нормативных правовых актов Белгородской области, необходимых для реализации механизмов, предусмотренных Федеральным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от 13 июля 2020 года N 189-ФЗ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t>Промежуточный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Количество юридических лиц, участвовавших в процедурах отбора исполнителей государственной услуги,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 xml:space="preserve">Значение: - </w:t>
            </w:r>
            <w:hyperlink w:anchor="P206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из них количество юридических лиц, включенных в реестр исполнителей </w:t>
            </w:r>
            <w:r>
              <w:lastRenderedPageBreak/>
              <w:t>государственной услуги в социальной сфере в соответствии с социальным сертификатом,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Итоговый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Доля юридических лиц, не являющихся государственными учреждениями, имеющих высокий уровень потенциала для конкуренции с государственными учреждениями при отборе исполнителей государственных услуг в целях оказания государственной услуги, в общем объеме организаций, оказывающих указанную услугу, процентов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100%.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84" w:type="dxa"/>
            <w:vMerge w:val="restart"/>
          </w:tcPr>
          <w:p w:rsidR="00D62467" w:rsidRDefault="00D62467">
            <w:pPr>
              <w:pStyle w:val="ConsPlusNormal"/>
            </w:pPr>
            <w:r>
              <w:t>Увеличение охвата услугами/доступа к услугам</w:t>
            </w: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Процесс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Информационная кампания для потребителей и исполнителей </w:t>
            </w:r>
            <w:r>
              <w:lastRenderedPageBreak/>
              <w:t>государственной услуги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Значение: 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t>Промежуточный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Общее количество юридических лиц, оказывающих государственную услугу,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 xml:space="preserve">Значение: - </w:t>
            </w:r>
            <w:hyperlink w:anchor="P206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из них количество юридических лиц, не являющихся государственными учреждениями,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t>Итоговый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Общее количество потребителей государственной услуги, человек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3981.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Количество потребителей услуг, получивших государственную услугу, у исполнителей государственных услуг, не являющихся государственными учреждениями, человек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3981.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84" w:type="dxa"/>
            <w:vMerge w:val="restart"/>
          </w:tcPr>
          <w:p w:rsidR="00D62467" w:rsidRDefault="00D62467">
            <w:pPr>
              <w:pStyle w:val="ConsPlusNormal"/>
            </w:pPr>
            <w:r>
              <w:t xml:space="preserve">Повышение качества </w:t>
            </w:r>
            <w:r>
              <w:lastRenderedPageBreak/>
              <w:t>оказанных услуг</w:t>
            </w:r>
          </w:p>
        </w:tc>
        <w:tc>
          <w:tcPr>
            <w:tcW w:w="183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Процесс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Определение </w:t>
            </w:r>
            <w:r>
              <w:lastRenderedPageBreak/>
              <w:t>стандартов (порядков) оказания государственной услуги и минимальных требований качества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 xml:space="preserve">Значение: </w:t>
            </w:r>
            <w:r>
              <w:lastRenderedPageBreak/>
              <w:t>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 xml:space="preserve">Значение: </w:t>
            </w:r>
            <w:r>
              <w:lastRenderedPageBreak/>
              <w:t>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 xml:space="preserve">Управление по </w:t>
            </w:r>
            <w:r>
              <w:lastRenderedPageBreak/>
              <w:t>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Создание системы мониторинга и оценки (в том числе информационной системы при наличии возможности) качества оказания государственной услуги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нет.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Наличие в уполномоченном органе должностного лица, осуществляющего мониторинг оказания государственной услуги в соответствии со стандартом (порядком) ее оказания (далее - должностное лицо), а также перечня мероприятий по </w:t>
            </w:r>
            <w:r>
              <w:lastRenderedPageBreak/>
              <w:t>проведению указанного мониторинга и показателей реализации таких мероприятий (далее - чек-лист)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Значение: нет.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Промежуточный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Количество юридических лиц, оказывающих государственную услугу, участвующих в мероприятиях по проведению мониторинга оказания услуги в соответствии со стандартом (порядком) ее оказания,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0.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 xml:space="preserve">Значение: - </w:t>
            </w:r>
            <w:hyperlink w:anchor="P206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Итоговый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Доля соответствия показателей, определенных в рамках мероприятий по проведению мониторинга оказания государственной услуги, показателям, включенным в чек-лист, определенная в ходе указанного </w:t>
            </w:r>
            <w:r>
              <w:lastRenderedPageBreak/>
              <w:t>мониторинга, проводимого должностным лицом, процентов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Значение: 0.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 w:val="restart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2284" w:type="dxa"/>
            <w:vMerge w:val="restart"/>
          </w:tcPr>
          <w:p w:rsidR="00D62467" w:rsidRDefault="00D62467">
            <w:pPr>
              <w:pStyle w:val="ConsPlusNormal"/>
            </w:pPr>
            <w:r>
              <w:t>Рост удовлетворенности граждан оказанием государственной услуги</w:t>
            </w: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Процесс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Создание механизмов обратной связи исполнителей услуг с потребителями услуг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нет.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да.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Промежуточный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>Количество исполнителей услуг, проводящих мониторинг удовлетворенности качеством оказанных услуг потребителей услуг, которым указанные исполнители оказали государственную услугу, единиц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5.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  <w:tr w:rsidR="00D62467">
        <w:tc>
          <w:tcPr>
            <w:tcW w:w="45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2284" w:type="dxa"/>
            <w:vMerge/>
          </w:tcPr>
          <w:p w:rsidR="00D62467" w:rsidRDefault="00D62467">
            <w:pPr>
              <w:pStyle w:val="ConsPlusNormal"/>
            </w:pPr>
          </w:p>
        </w:tc>
        <w:tc>
          <w:tcPr>
            <w:tcW w:w="1834" w:type="dxa"/>
          </w:tcPr>
          <w:p w:rsidR="00D62467" w:rsidRDefault="00D62467">
            <w:pPr>
              <w:pStyle w:val="ConsPlusNormal"/>
              <w:jc w:val="center"/>
            </w:pPr>
            <w:r>
              <w:t>Итоговый результат</w:t>
            </w:r>
          </w:p>
        </w:tc>
        <w:tc>
          <w:tcPr>
            <w:tcW w:w="2119" w:type="dxa"/>
          </w:tcPr>
          <w:p w:rsidR="00D62467" w:rsidRDefault="00D62467">
            <w:pPr>
              <w:pStyle w:val="ConsPlusNormal"/>
            </w:pPr>
            <w:r>
              <w:t xml:space="preserve">Доля потребителей услуг, удовлетворенных качеством государственной услуги, от общего числа потребителей услуги, </w:t>
            </w:r>
            <w:r>
              <w:lastRenderedPageBreak/>
              <w:t>определенная по результатам мониторинга удовлетворенности потребителей услуг, процентов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lastRenderedPageBreak/>
              <w:t>Значение: 100%.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2022</w:t>
            </w:r>
          </w:p>
        </w:tc>
        <w:tc>
          <w:tcPr>
            <w:tcW w:w="1129" w:type="dxa"/>
          </w:tcPr>
          <w:p w:rsidR="00D62467" w:rsidRDefault="00D62467">
            <w:pPr>
              <w:pStyle w:val="ConsPlusNormal"/>
              <w:jc w:val="center"/>
            </w:pPr>
            <w:r>
              <w:t>Значение: - &lt;*&gt;.</w:t>
            </w:r>
          </w:p>
          <w:p w:rsidR="00D62467" w:rsidRDefault="00D62467">
            <w:pPr>
              <w:pStyle w:val="ConsPlusNormal"/>
              <w:jc w:val="center"/>
            </w:pPr>
            <w:r>
              <w:t>Год: 2024</w:t>
            </w:r>
          </w:p>
        </w:tc>
        <w:tc>
          <w:tcPr>
            <w:tcW w:w="1744" w:type="dxa"/>
          </w:tcPr>
          <w:p w:rsidR="00D62467" w:rsidRDefault="00D62467">
            <w:pPr>
              <w:pStyle w:val="ConsPlusNormal"/>
              <w:jc w:val="center"/>
            </w:pPr>
            <w:r>
              <w:t>Управление по туризму Белгородской области</w:t>
            </w:r>
          </w:p>
        </w:tc>
      </w:tr>
    </w:tbl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ind w:firstLine="540"/>
        <w:jc w:val="both"/>
      </w:pPr>
      <w:r>
        <w:t>--------------------------------</w:t>
      </w:r>
    </w:p>
    <w:p w:rsidR="00D62467" w:rsidRDefault="00D62467">
      <w:pPr>
        <w:pStyle w:val="ConsPlusNormal"/>
        <w:spacing w:before="220"/>
        <w:ind w:firstLine="540"/>
        <w:jc w:val="both"/>
      </w:pPr>
      <w:bookmarkStart w:id="2" w:name="P206"/>
      <w:bookmarkEnd w:id="2"/>
      <w:r>
        <w:t xml:space="preserve">&lt;*&gt; Определение значений показателей эффективности (целевых ориентиров) организации оказания государственной услуги на территории Белгородской области 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13 июля 2020 года N 189-ФЗ не осуществляется в связи с отсутствием реализации в 2024 году на территории Белгородской области государственного социального заказа по направлению деятельности "Создание благоприятных условий для развития туристской индустрии в субъектах Российской Федерации".</w:t>
      </w: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jc w:val="both"/>
      </w:pPr>
    </w:p>
    <w:p w:rsidR="00D62467" w:rsidRDefault="00D6246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183159" w:rsidRDefault="00183159"/>
    <w:sectPr w:rsidR="00183159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67"/>
    <w:rsid w:val="00127258"/>
    <w:rsid w:val="00183159"/>
    <w:rsid w:val="00D6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C1E1A-BD25-41E3-9808-4EB1FC87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24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4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6246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58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88737&amp;dst=1002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8737&amp;dst=10002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404&amp;n=8873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35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Станислав Александрович</dc:creator>
  <cp:keywords/>
  <dc:description/>
  <cp:lastModifiedBy>Бабкин Станислав Александрович</cp:lastModifiedBy>
  <cp:revision>1</cp:revision>
  <dcterms:created xsi:type="dcterms:W3CDTF">2024-05-29T09:46:00Z</dcterms:created>
  <dcterms:modified xsi:type="dcterms:W3CDTF">2024-05-29T09:46:00Z</dcterms:modified>
</cp:coreProperties>
</file>